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8D88" w14:textId="59BC2269" w:rsidR="00836BBC" w:rsidRPr="00836BBC" w:rsidRDefault="00836BBC" w:rsidP="00836BBC">
      <w:pPr>
        <w:spacing w:after="0"/>
        <w:rPr>
          <w:b/>
          <w:bCs/>
        </w:rPr>
      </w:pPr>
      <w:r w:rsidRPr="00836BBC">
        <w:rPr>
          <w:b/>
          <w:bCs/>
        </w:rPr>
        <w:t xml:space="preserve">Taxonomieniveau van de opleiding: </w:t>
      </w:r>
      <w:r w:rsidRPr="00836BBC">
        <w:rPr>
          <w:b/>
          <w:bCs/>
        </w:rPr>
        <w:t>Het </w:t>
      </w:r>
      <w:proofErr w:type="spellStart"/>
      <w:r w:rsidRPr="00836BBC">
        <w:rPr>
          <w:b/>
          <w:bCs/>
        </w:rPr>
        <w:t>ZelCommodel</w:t>
      </w:r>
      <w:proofErr w:type="spellEnd"/>
      <w:r w:rsidRPr="00836BBC">
        <w:rPr>
          <w:b/>
          <w:bCs/>
        </w:rPr>
        <w:t>  </w:t>
      </w:r>
    </w:p>
    <w:p w14:paraId="6D40C8A9" w14:textId="77777777" w:rsidR="00836BBC" w:rsidRDefault="00836BBC" w:rsidP="00836BBC">
      <w:pPr>
        <w:spacing w:after="0"/>
      </w:pPr>
    </w:p>
    <w:p w14:paraId="7B897D75" w14:textId="21810245" w:rsidR="00836BBC" w:rsidRPr="00836BBC" w:rsidRDefault="00836BBC" w:rsidP="00836BBC">
      <w:pPr>
        <w:spacing w:after="0"/>
      </w:pPr>
      <w:r w:rsidRPr="00836BBC">
        <w:t>Voor de beschrijving van het niveau van de verschillende onderdelen van het curriculum maken we gebruik van het </w:t>
      </w:r>
      <w:proofErr w:type="spellStart"/>
      <w:r w:rsidRPr="00836BBC">
        <w:t>ZelCommodel</w:t>
      </w:r>
      <w:proofErr w:type="spellEnd"/>
      <w:r w:rsidRPr="00836BBC">
        <w:t> (Bulthuis, 2013). “Het </w:t>
      </w:r>
      <w:proofErr w:type="spellStart"/>
      <w:r w:rsidRPr="00836BBC">
        <w:t>ZelCommodel</w:t>
      </w:r>
      <w:proofErr w:type="spellEnd"/>
      <w:r w:rsidRPr="00836BBC">
        <w:t> is een praktisch hulpmiddel bij het vaststellen van competentieniveaus in het beroepsonderwijs. Het model beschrijft een niveau-indeling gebaseerd op de dimensies Zelfstandigheid en Complexiteit: hoe zelfstandiger iemand werkzaamheden kan uitvoeren en hoe complexer de werkzaamheden zijn, hoe hoger zijn competentieniveau” (Bulthuis 2013).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836BBC" w:rsidRPr="00836BBC" w14:paraId="2D099CB6" w14:textId="77777777">
        <w:trPr>
          <w:trHeight w:val="300"/>
        </w:trPr>
        <w:tc>
          <w:tcPr>
            <w:tcW w:w="2250" w:type="dxa"/>
            <w:vMerge w:val="restart"/>
            <w:tcBorders>
              <w:top w:val="single" w:sz="6" w:space="0" w:color="auto"/>
              <w:left w:val="single" w:sz="6" w:space="0" w:color="auto"/>
              <w:bottom w:val="single" w:sz="6" w:space="0" w:color="auto"/>
              <w:right w:val="single" w:sz="6" w:space="0" w:color="auto"/>
            </w:tcBorders>
            <w:vAlign w:val="center"/>
            <w:hideMark/>
          </w:tcPr>
          <w:p w14:paraId="649EF6A6" w14:textId="77777777" w:rsidR="00836BBC" w:rsidRPr="00836BBC" w:rsidRDefault="00836BBC" w:rsidP="00836BBC">
            <w:pPr>
              <w:spacing w:after="0"/>
            </w:pPr>
            <w:r w:rsidRPr="00836BBC">
              <w:t> Zelfstandigheid à </w:t>
            </w:r>
          </w:p>
        </w:tc>
        <w:tc>
          <w:tcPr>
            <w:tcW w:w="2250"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416935F7" w14:textId="77777777" w:rsidR="00836BBC" w:rsidRPr="00836BBC" w:rsidRDefault="00836BBC" w:rsidP="00836BBC">
            <w:pPr>
              <w:spacing w:after="0"/>
            </w:pPr>
            <w:r w:rsidRPr="00836BBC">
              <w:t>C </w:t>
            </w:r>
          </w:p>
          <w:p w14:paraId="7C4821A3" w14:textId="77777777" w:rsidR="00836BBC" w:rsidRPr="00836BBC" w:rsidRDefault="00836BBC" w:rsidP="00836BBC">
            <w:pPr>
              <w:spacing w:after="0"/>
            </w:pPr>
            <w:r w:rsidRPr="00836BBC">
              <w:t>  </w:t>
            </w:r>
          </w:p>
        </w:tc>
        <w:tc>
          <w:tcPr>
            <w:tcW w:w="2250" w:type="dxa"/>
            <w:tcBorders>
              <w:top w:val="single" w:sz="6" w:space="0" w:color="auto"/>
              <w:left w:val="single" w:sz="6" w:space="0" w:color="auto"/>
              <w:bottom w:val="single" w:sz="6" w:space="0" w:color="auto"/>
              <w:right w:val="single" w:sz="6" w:space="0" w:color="auto"/>
            </w:tcBorders>
            <w:shd w:val="clear" w:color="auto" w:fill="002060"/>
            <w:hideMark/>
          </w:tcPr>
          <w:p w14:paraId="763F7368" w14:textId="77777777" w:rsidR="00836BBC" w:rsidRPr="00836BBC" w:rsidRDefault="00836BBC" w:rsidP="00836BBC">
            <w:pPr>
              <w:spacing w:after="0"/>
            </w:pPr>
            <w:r w:rsidRPr="00836BBC">
              <w:t>D </w:t>
            </w:r>
          </w:p>
        </w:tc>
        <w:tc>
          <w:tcPr>
            <w:tcW w:w="2250" w:type="dxa"/>
            <w:tcBorders>
              <w:top w:val="single" w:sz="6" w:space="0" w:color="auto"/>
              <w:left w:val="single" w:sz="6" w:space="0" w:color="auto"/>
              <w:bottom w:val="single" w:sz="6" w:space="0" w:color="auto"/>
              <w:right w:val="single" w:sz="6" w:space="0" w:color="auto"/>
            </w:tcBorders>
            <w:shd w:val="clear" w:color="auto" w:fill="D0CECE"/>
            <w:hideMark/>
          </w:tcPr>
          <w:p w14:paraId="7B3B4D18" w14:textId="77777777" w:rsidR="00836BBC" w:rsidRPr="00836BBC" w:rsidRDefault="00836BBC" w:rsidP="00836BBC">
            <w:pPr>
              <w:spacing w:after="0"/>
            </w:pPr>
            <w:r w:rsidRPr="00836BBC">
              <w:t>E </w:t>
            </w:r>
          </w:p>
        </w:tc>
      </w:tr>
      <w:tr w:rsidR="00836BBC" w:rsidRPr="00836BBC" w14:paraId="3C006171"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4CDC9DB" w14:textId="77777777" w:rsidR="00836BBC" w:rsidRPr="00836BBC" w:rsidRDefault="00836BBC" w:rsidP="00836BBC">
            <w:pPr>
              <w:spacing w:after="0"/>
            </w:pPr>
          </w:p>
        </w:tc>
        <w:tc>
          <w:tcPr>
            <w:tcW w:w="2250" w:type="dxa"/>
            <w:tcBorders>
              <w:top w:val="single" w:sz="6" w:space="0" w:color="auto"/>
              <w:left w:val="nil"/>
              <w:bottom w:val="single" w:sz="6" w:space="0" w:color="auto"/>
              <w:right w:val="single" w:sz="6" w:space="0" w:color="auto"/>
            </w:tcBorders>
            <w:shd w:val="clear" w:color="auto" w:fill="00B050"/>
            <w:vAlign w:val="center"/>
            <w:hideMark/>
          </w:tcPr>
          <w:p w14:paraId="45C5CB4C" w14:textId="77777777" w:rsidR="00836BBC" w:rsidRPr="00836BBC" w:rsidRDefault="00836BBC" w:rsidP="00836BBC">
            <w:pPr>
              <w:spacing w:after="0"/>
            </w:pPr>
            <w:r w:rsidRPr="00836BBC">
              <w:t>B </w:t>
            </w:r>
          </w:p>
          <w:p w14:paraId="5014FC4C" w14:textId="77777777" w:rsidR="00836BBC" w:rsidRPr="00836BBC" w:rsidRDefault="00836BBC" w:rsidP="00836BBC">
            <w:pPr>
              <w:spacing w:after="0"/>
            </w:pPr>
            <w:r w:rsidRPr="00836BBC">
              <w:t>  </w:t>
            </w:r>
          </w:p>
        </w:tc>
        <w:tc>
          <w:tcPr>
            <w:tcW w:w="2250" w:type="dxa"/>
            <w:tcBorders>
              <w:top w:val="single" w:sz="6" w:space="0" w:color="auto"/>
              <w:left w:val="single" w:sz="6" w:space="0" w:color="auto"/>
              <w:bottom w:val="single" w:sz="6" w:space="0" w:color="auto"/>
              <w:right w:val="single" w:sz="6" w:space="0" w:color="auto"/>
            </w:tcBorders>
            <w:shd w:val="clear" w:color="auto" w:fill="00B0F0"/>
            <w:hideMark/>
          </w:tcPr>
          <w:p w14:paraId="501FD9B5" w14:textId="77777777" w:rsidR="00836BBC" w:rsidRPr="00836BBC" w:rsidRDefault="00836BBC" w:rsidP="00836BBC">
            <w:pPr>
              <w:spacing w:after="0"/>
            </w:pPr>
            <w:r w:rsidRPr="00836BBC">
              <w:t>C </w:t>
            </w:r>
          </w:p>
        </w:tc>
        <w:tc>
          <w:tcPr>
            <w:tcW w:w="2250" w:type="dxa"/>
            <w:tcBorders>
              <w:top w:val="single" w:sz="6" w:space="0" w:color="auto"/>
              <w:left w:val="single" w:sz="6" w:space="0" w:color="auto"/>
              <w:bottom w:val="single" w:sz="6" w:space="0" w:color="auto"/>
              <w:right w:val="single" w:sz="6" w:space="0" w:color="auto"/>
            </w:tcBorders>
            <w:shd w:val="clear" w:color="auto" w:fill="002060"/>
            <w:hideMark/>
          </w:tcPr>
          <w:p w14:paraId="70EFD662" w14:textId="77777777" w:rsidR="00836BBC" w:rsidRPr="00836BBC" w:rsidRDefault="00836BBC" w:rsidP="00836BBC">
            <w:pPr>
              <w:spacing w:after="0"/>
            </w:pPr>
            <w:r w:rsidRPr="00836BBC">
              <w:t>D </w:t>
            </w:r>
          </w:p>
        </w:tc>
      </w:tr>
      <w:tr w:rsidR="00836BBC" w:rsidRPr="00836BBC" w14:paraId="58206E2B"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A6FEFE" w14:textId="77777777" w:rsidR="00836BBC" w:rsidRPr="00836BBC" w:rsidRDefault="00836BBC" w:rsidP="00836BBC">
            <w:pPr>
              <w:spacing w:after="0"/>
            </w:pPr>
          </w:p>
        </w:tc>
        <w:tc>
          <w:tcPr>
            <w:tcW w:w="2250" w:type="dxa"/>
            <w:tcBorders>
              <w:top w:val="single" w:sz="6" w:space="0" w:color="auto"/>
              <w:left w:val="nil"/>
              <w:bottom w:val="single" w:sz="6" w:space="0" w:color="auto"/>
              <w:right w:val="single" w:sz="6" w:space="0" w:color="auto"/>
            </w:tcBorders>
            <w:shd w:val="clear" w:color="auto" w:fill="92D050"/>
            <w:vAlign w:val="center"/>
            <w:hideMark/>
          </w:tcPr>
          <w:p w14:paraId="22915966" w14:textId="77777777" w:rsidR="00836BBC" w:rsidRPr="00836BBC" w:rsidRDefault="00836BBC" w:rsidP="00836BBC">
            <w:pPr>
              <w:spacing w:after="0"/>
            </w:pPr>
            <w:r w:rsidRPr="00836BBC">
              <w:t>A </w:t>
            </w:r>
          </w:p>
          <w:p w14:paraId="3D1F7319" w14:textId="77777777" w:rsidR="00836BBC" w:rsidRPr="00836BBC" w:rsidRDefault="00836BBC" w:rsidP="00836BBC">
            <w:pPr>
              <w:spacing w:after="0"/>
            </w:pPr>
            <w:r w:rsidRPr="00836BBC">
              <w:t>  </w:t>
            </w:r>
          </w:p>
        </w:tc>
        <w:tc>
          <w:tcPr>
            <w:tcW w:w="2250" w:type="dxa"/>
            <w:tcBorders>
              <w:top w:val="single" w:sz="6" w:space="0" w:color="auto"/>
              <w:left w:val="single" w:sz="6" w:space="0" w:color="auto"/>
              <w:bottom w:val="single" w:sz="6" w:space="0" w:color="auto"/>
              <w:right w:val="single" w:sz="6" w:space="0" w:color="auto"/>
            </w:tcBorders>
            <w:shd w:val="clear" w:color="auto" w:fill="00B050"/>
            <w:hideMark/>
          </w:tcPr>
          <w:p w14:paraId="7A8F6623" w14:textId="77777777" w:rsidR="00836BBC" w:rsidRPr="00836BBC" w:rsidRDefault="00836BBC" w:rsidP="00836BBC">
            <w:pPr>
              <w:spacing w:after="0"/>
            </w:pPr>
            <w:r w:rsidRPr="00836BBC">
              <w:t>B </w:t>
            </w:r>
          </w:p>
        </w:tc>
        <w:tc>
          <w:tcPr>
            <w:tcW w:w="2250" w:type="dxa"/>
            <w:tcBorders>
              <w:top w:val="single" w:sz="6" w:space="0" w:color="auto"/>
              <w:left w:val="single" w:sz="6" w:space="0" w:color="auto"/>
              <w:bottom w:val="single" w:sz="6" w:space="0" w:color="auto"/>
              <w:right w:val="single" w:sz="6" w:space="0" w:color="auto"/>
            </w:tcBorders>
            <w:shd w:val="clear" w:color="auto" w:fill="00B0F0"/>
            <w:hideMark/>
          </w:tcPr>
          <w:p w14:paraId="6A4E47AB" w14:textId="77777777" w:rsidR="00836BBC" w:rsidRPr="00836BBC" w:rsidRDefault="00836BBC" w:rsidP="00836BBC">
            <w:pPr>
              <w:spacing w:after="0"/>
            </w:pPr>
            <w:r w:rsidRPr="00836BBC">
              <w:t>C </w:t>
            </w:r>
          </w:p>
        </w:tc>
      </w:tr>
      <w:tr w:rsidR="00836BBC" w:rsidRPr="00836BBC" w14:paraId="750E9D2D" w14:textId="77777777">
        <w:trPr>
          <w:trHeight w:val="300"/>
        </w:trPr>
        <w:tc>
          <w:tcPr>
            <w:tcW w:w="2250" w:type="dxa"/>
            <w:tcBorders>
              <w:top w:val="nil"/>
              <w:left w:val="single" w:sz="6" w:space="0" w:color="auto"/>
              <w:bottom w:val="single" w:sz="6" w:space="0" w:color="auto"/>
              <w:right w:val="single" w:sz="6" w:space="0" w:color="auto"/>
            </w:tcBorders>
            <w:hideMark/>
          </w:tcPr>
          <w:p w14:paraId="6F2F5BE8" w14:textId="77777777" w:rsidR="00836BBC" w:rsidRPr="00836BBC" w:rsidRDefault="00836BBC" w:rsidP="00836BBC">
            <w:pPr>
              <w:spacing w:after="0"/>
            </w:pPr>
            <w:r w:rsidRPr="00836BBC">
              <w:t>  </w:t>
            </w:r>
          </w:p>
        </w:tc>
        <w:tc>
          <w:tcPr>
            <w:tcW w:w="6750" w:type="dxa"/>
            <w:gridSpan w:val="3"/>
            <w:tcBorders>
              <w:top w:val="single" w:sz="6" w:space="0" w:color="auto"/>
              <w:left w:val="single" w:sz="6" w:space="0" w:color="auto"/>
              <w:bottom w:val="single" w:sz="6" w:space="0" w:color="auto"/>
              <w:right w:val="single" w:sz="6" w:space="0" w:color="auto"/>
            </w:tcBorders>
            <w:hideMark/>
          </w:tcPr>
          <w:p w14:paraId="06E5CFE4" w14:textId="77777777" w:rsidR="00836BBC" w:rsidRPr="00836BBC" w:rsidRDefault="00836BBC" w:rsidP="00836BBC">
            <w:pPr>
              <w:spacing w:after="0"/>
            </w:pPr>
            <w:r w:rsidRPr="00836BBC">
              <w:t>  </w:t>
            </w:r>
          </w:p>
          <w:p w14:paraId="39651401" w14:textId="77777777" w:rsidR="00836BBC" w:rsidRPr="00836BBC" w:rsidRDefault="00836BBC" w:rsidP="00836BBC">
            <w:pPr>
              <w:spacing w:after="0"/>
            </w:pPr>
            <w:r w:rsidRPr="00836BBC">
              <w:t>Complexiteit à  </w:t>
            </w:r>
          </w:p>
          <w:p w14:paraId="75BD2A59" w14:textId="77777777" w:rsidR="00836BBC" w:rsidRPr="00836BBC" w:rsidRDefault="00836BBC" w:rsidP="00836BBC">
            <w:pPr>
              <w:spacing w:after="0"/>
            </w:pPr>
            <w:r w:rsidRPr="00836BBC">
              <w:t>  </w:t>
            </w:r>
          </w:p>
        </w:tc>
      </w:tr>
    </w:tbl>
    <w:p w14:paraId="7A9F3D12" w14:textId="77777777" w:rsidR="00836BBC" w:rsidRDefault="00836BBC" w:rsidP="00836BBC">
      <w:pPr>
        <w:spacing w:after="0"/>
        <w:rPr>
          <w:i/>
          <w:iCs/>
        </w:rPr>
      </w:pPr>
      <w:r w:rsidRPr="00836BBC">
        <w:rPr>
          <w:i/>
          <w:iCs/>
        </w:rPr>
        <w:t>Figuur 1: “</w:t>
      </w:r>
      <w:proofErr w:type="spellStart"/>
      <w:r w:rsidRPr="00836BBC">
        <w:rPr>
          <w:i/>
          <w:iCs/>
        </w:rPr>
        <w:t>ZelCommodel</w:t>
      </w:r>
      <w:proofErr w:type="spellEnd"/>
      <w:r w:rsidRPr="00836BBC">
        <w:rPr>
          <w:i/>
          <w:iCs/>
        </w:rPr>
        <w:t xml:space="preserve">: Zelfstandigheid en Complexiteit bepalen in samenhang het </w:t>
      </w:r>
    </w:p>
    <w:p w14:paraId="4CB0C97F" w14:textId="695EF30E" w:rsidR="00836BBC" w:rsidRDefault="00836BBC" w:rsidP="00836BBC">
      <w:pPr>
        <w:spacing w:after="0"/>
      </w:pPr>
      <w:proofErr w:type="gramStart"/>
      <w:r w:rsidRPr="00836BBC">
        <w:rPr>
          <w:i/>
          <w:iCs/>
        </w:rPr>
        <w:t>competentieniveau</w:t>
      </w:r>
      <w:proofErr w:type="gramEnd"/>
      <w:r w:rsidRPr="00836BBC">
        <w:t>” (Bulthuis, 2013). </w:t>
      </w:r>
    </w:p>
    <w:p w14:paraId="1AFD605E" w14:textId="77777777" w:rsidR="00836BBC" w:rsidRPr="00836BBC" w:rsidRDefault="00836BBC" w:rsidP="00836BBC">
      <w:pPr>
        <w:spacing w:after="0"/>
      </w:pPr>
    </w:p>
    <w:p w14:paraId="352EFA9C" w14:textId="77777777" w:rsidR="00836BBC" w:rsidRPr="00836BBC" w:rsidRDefault="00836BBC" w:rsidP="00836BBC">
      <w:pPr>
        <w:spacing w:after="0"/>
      </w:pPr>
      <w:r w:rsidRPr="00836BBC">
        <w:rPr>
          <w:b/>
          <w:bCs/>
        </w:rPr>
        <w:t>Niveau A:</w:t>
      </w:r>
      <w:r w:rsidRPr="00836BBC">
        <w:t> een situatie waarin zowel de zelfstandigheid als de complexiteit laag zijn. </w:t>
      </w:r>
    </w:p>
    <w:p w14:paraId="6650F49B" w14:textId="77777777" w:rsidR="00836BBC" w:rsidRPr="00836BBC" w:rsidRDefault="00836BBC" w:rsidP="00836BBC">
      <w:pPr>
        <w:spacing w:after="0"/>
      </w:pPr>
      <w:r w:rsidRPr="00836BBC">
        <w:rPr>
          <w:b/>
          <w:bCs/>
        </w:rPr>
        <w:t>Niveau B:</w:t>
      </w:r>
      <w:r w:rsidRPr="00836BBC">
        <w:t> een situatie waarin de zelfstandigheid laag is en de complexiteit in het midden zit óf een situatie waarbij de zelfstandigheid in het midden zit en de complexiteit laag is.  </w:t>
      </w:r>
    </w:p>
    <w:p w14:paraId="4AC4D884" w14:textId="77777777" w:rsidR="00836BBC" w:rsidRPr="00836BBC" w:rsidRDefault="00836BBC" w:rsidP="00836BBC">
      <w:pPr>
        <w:spacing w:after="0"/>
      </w:pPr>
      <w:r w:rsidRPr="00836BBC">
        <w:rPr>
          <w:b/>
          <w:bCs/>
        </w:rPr>
        <w:t>Niveau C:</w:t>
      </w:r>
      <w:r w:rsidRPr="00836BBC">
        <w:t> een situatie waarin zowel de zelfstandigheid als de complexiteit in het midden zitten óf de zelfstandigheid laag is in een hoog complexe situatie of de zelfstandigheid hoog is in een laag complexe situatie. </w:t>
      </w:r>
    </w:p>
    <w:p w14:paraId="7CB3239B" w14:textId="77777777" w:rsidR="00836BBC" w:rsidRPr="00836BBC" w:rsidRDefault="00836BBC" w:rsidP="00836BBC">
      <w:pPr>
        <w:spacing w:after="0"/>
      </w:pPr>
      <w:r w:rsidRPr="00836BBC">
        <w:rPr>
          <w:b/>
          <w:bCs/>
        </w:rPr>
        <w:t>Niveau D (afstuderen):</w:t>
      </w:r>
      <w:r w:rsidRPr="00836BBC">
        <w:t> een situatie waarin de zelfstandigheid hoog is in een midden complexe situatie óf de zelfstandigheid midden is in een hoog complexe situatie.  </w:t>
      </w:r>
    </w:p>
    <w:p w14:paraId="7F69E179" w14:textId="77777777" w:rsidR="00836BBC" w:rsidRDefault="00836BBC" w:rsidP="00836BBC">
      <w:pPr>
        <w:spacing w:after="0"/>
      </w:pPr>
      <w:r w:rsidRPr="00836BBC">
        <w:t>NB: </w:t>
      </w:r>
      <w:r w:rsidRPr="00836BBC">
        <w:rPr>
          <w:b/>
          <w:bCs/>
        </w:rPr>
        <w:t>Niveau E:</w:t>
      </w:r>
      <w:r w:rsidRPr="00836BBC">
        <w:t> Voor het behalen van de opleiding Bachelor Nursing is het niet noodzakelijk dat dit niveau op alle onderdelen behaald is. Er zal binnen de opleiding altijd nog sprake zijn van een vorm van begeleiding óf een situatie lager dan het hoogste niveau van complexiteit. De beginnend beroepsbeoefenaar ontwikkelt zich verder naar dit E-niveau.  </w:t>
      </w:r>
    </w:p>
    <w:p w14:paraId="4F2449AF" w14:textId="77777777" w:rsidR="00836BBC" w:rsidRDefault="00836BBC" w:rsidP="00836BBC">
      <w:pPr>
        <w:spacing w:after="0"/>
      </w:pPr>
    </w:p>
    <w:p w14:paraId="29F8C6E1" w14:textId="77777777" w:rsidR="00836BBC" w:rsidRDefault="00836BBC" w:rsidP="00836BBC">
      <w:pPr>
        <w:spacing w:after="0"/>
      </w:pPr>
    </w:p>
    <w:p w14:paraId="3AB0DDFC" w14:textId="77777777" w:rsidR="00836BBC" w:rsidRDefault="00836BBC" w:rsidP="00836BBC">
      <w:pPr>
        <w:spacing w:after="0"/>
      </w:pPr>
    </w:p>
    <w:p w14:paraId="0A129E4E" w14:textId="77777777" w:rsidR="00836BBC" w:rsidRDefault="00836BBC" w:rsidP="00836BBC">
      <w:pPr>
        <w:spacing w:after="0"/>
      </w:pPr>
    </w:p>
    <w:p w14:paraId="1C0F15F3" w14:textId="77777777" w:rsidR="00836BBC" w:rsidRDefault="00836BBC" w:rsidP="00836BBC">
      <w:pPr>
        <w:spacing w:after="0"/>
      </w:pPr>
    </w:p>
    <w:p w14:paraId="20286FED" w14:textId="77777777" w:rsidR="00836BBC" w:rsidRDefault="00836BBC" w:rsidP="00836BBC">
      <w:pPr>
        <w:spacing w:after="0"/>
      </w:pPr>
    </w:p>
    <w:p w14:paraId="13C15EAF" w14:textId="77777777" w:rsidR="00836BBC" w:rsidRPr="00836BBC" w:rsidRDefault="00836BBC" w:rsidP="00836BBC">
      <w:pPr>
        <w:spacing w:after="0"/>
      </w:pPr>
    </w:p>
    <w:p w14:paraId="1BFBDC04" w14:textId="77777777" w:rsidR="00836BBC" w:rsidRPr="00836BBC" w:rsidRDefault="00836BBC" w:rsidP="00836BBC">
      <w:pPr>
        <w:spacing w:after="0"/>
      </w:pPr>
      <w:r w:rsidRPr="00836BBC">
        <w:rPr>
          <w:b/>
          <w:bCs/>
        </w:rPr>
        <w:lastRenderedPageBreak/>
        <w:t>Niveau Laag</w:t>
      </w:r>
      <w:r w:rsidRPr="00836BBC">
        <w:t> </w:t>
      </w:r>
    </w:p>
    <w:p w14:paraId="28343F13" w14:textId="77777777" w:rsidR="00836BBC" w:rsidRPr="00836BBC" w:rsidRDefault="00836BBC" w:rsidP="00836BBC">
      <w:pPr>
        <w:spacing w:after="0"/>
      </w:pPr>
      <w:r w:rsidRPr="00836BBC">
        <w:rPr>
          <w:i/>
          <w:iCs/>
        </w:rPr>
        <w:t>Zelfstandigheid</w:t>
      </w:r>
      <w:r w:rsidRPr="00836BBC">
        <w:t> </w:t>
      </w:r>
    </w:p>
    <w:p w14:paraId="77648986" w14:textId="77777777" w:rsidR="00836BBC" w:rsidRPr="00836BBC" w:rsidRDefault="00836BBC" w:rsidP="00836BBC">
      <w:pPr>
        <w:numPr>
          <w:ilvl w:val="0"/>
          <w:numId w:val="1"/>
        </w:numPr>
        <w:spacing w:after="0"/>
      </w:pPr>
      <w:r w:rsidRPr="00836BBC">
        <w:t>Er is sprake van instructie en/of aanwijzingen, begeleiding en/of toezicht en directe feedback door een werkbegeleider of docent.  </w:t>
      </w:r>
    </w:p>
    <w:p w14:paraId="66FCE0C6" w14:textId="77777777" w:rsidR="00836BBC" w:rsidRPr="00836BBC" w:rsidRDefault="00836BBC" w:rsidP="00836BBC">
      <w:pPr>
        <w:numPr>
          <w:ilvl w:val="0"/>
          <w:numId w:val="2"/>
        </w:numPr>
        <w:spacing w:after="0"/>
      </w:pPr>
      <w:r w:rsidRPr="00836BBC">
        <w:t>De benodigde theorie (conceptuele modellen), methoden en procedures (strategische modellen) en literatuur wordt aangeboden door docent of werkbegeleider. </w:t>
      </w:r>
    </w:p>
    <w:p w14:paraId="0E47F8F4" w14:textId="77777777" w:rsidR="00836BBC" w:rsidRPr="00836BBC" w:rsidRDefault="00836BBC" w:rsidP="00836BBC">
      <w:pPr>
        <w:numPr>
          <w:ilvl w:val="0"/>
          <w:numId w:val="3"/>
        </w:numPr>
        <w:spacing w:after="0"/>
      </w:pPr>
      <w:r w:rsidRPr="00836BBC">
        <w:t>Tijdens de BPV overlegt de student met de werkbegeleider over te maken keuzes. </w:t>
      </w:r>
    </w:p>
    <w:p w14:paraId="7A266721" w14:textId="77777777" w:rsidR="00836BBC" w:rsidRPr="00836BBC" w:rsidRDefault="00836BBC" w:rsidP="00836BBC">
      <w:pPr>
        <w:numPr>
          <w:ilvl w:val="0"/>
          <w:numId w:val="4"/>
        </w:numPr>
        <w:spacing w:after="0"/>
      </w:pPr>
      <w:r w:rsidRPr="00836BBC">
        <w:t>Tijdens de BPV wordt de zorg door anderen overgenomen als er sprake is van onverwachte omstandigheden of risicovolle situaties. </w:t>
      </w:r>
    </w:p>
    <w:p w14:paraId="2E4F4990" w14:textId="77777777" w:rsidR="00836BBC" w:rsidRPr="00836BBC" w:rsidRDefault="00836BBC" w:rsidP="00836BBC">
      <w:pPr>
        <w:numPr>
          <w:ilvl w:val="0"/>
          <w:numId w:val="5"/>
        </w:numPr>
        <w:spacing w:after="0"/>
      </w:pPr>
      <w:r w:rsidRPr="00836BBC">
        <w:t>Het klinisch redeneren wordt onderbouwt met redenaties van anderen. </w:t>
      </w:r>
    </w:p>
    <w:p w14:paraId="32C5D46F" w14:textId="77777777" w:rsidR="00836BBC" w:rsidRPr="00836BBC" w:rsidRDefault="00836BBC" w:rsidP="00836BBC">
      <w:pPr>
        <w:numPr>
          <w:ilvl w:val="0"/>
          <w:numId w:val="6"/>
        </w:numPr>
        <w:spacing w:after="0"/>
      </w:pPr>
      <w:r w:rsidRPr="00836BBC">
        <w:t>De student ontvangt instructie en/of directe begeleiding bij het ontwikkelen van metacognitieve vaardigheden.  </w:t>
      </w:r>
    </w:p>
    <w:p w14:paraId="6A7365DC" w14:textId="77777777" w:rsidR="00836BBC" w:rsidRPr="00836BBC" w:rsidRDefault="00836BBC" w:rsidP="00836BBC">
      <w:pPr>
        <w:spacing w:after="0"/>
      </w:pPr>
      <w:r w:rsidRPr="00836BBC">
        <w:rPr>
          <w:i/>
          <w:iCs/>
        </w:rPr>
        <w:t>Complexiteit</w:t>
      </w:r>
      <w:r w:rsidRPr="00836BBC">
        <w:t> </w:t>
      </w:r>
    </w:p>
    <w:p w14:paraId="6817AA52" w14:textId="77777777" w:rsidR="00836BBC" w:rsidRPr="00836BBC" w:rsidRDefault="00836BBC" w:rsidP="00836BBC">
      <w:pPr>
        <w:numPr>
          <w:ilvl w:val="0"/>
          <w:numId w:val="7"/>
        </w:numPr>
        <w:spacing w:after="0"/>
      </w:pPr>
      <w:r w:rsidRPr="00836BBC">
        <w:t>De opdrachten/werkzaamheden/op te lossen vraagstukken kennen weinig variabelen en betreffen eenduidige verbanden. </w:t>
      </w:r>
    </w:p>
    <w:p w14:paraId="6EEE003A" w14:textId="77777777" w:rsidR="00836BBC" w:rsidRPr="00836BBC" w:rsidRDefault="00836BBC" w:rsidP="00836BBC">
      <w:pPr>
        <w:numPr>
          <w:ilvl w:val="0"/>
          <w:numId w:val="8"/>
        </w:numPr>
        <w:spacing w:after="0"/>
      </w:pPr>
      <w:r w:rsidRPr="00836BBC">
        <w:t>De opdrachten/werkzaamheden worden binnen het eigen beroepsdomein en monodisciplinair uitgevoerd. </w:t>
      </w:r>
    </w:p>
    <w:p w14:paraId="3B8B9540" w14:textId="77777777" w:rsidR="00836BBC" w:rsidRPr="00836BBC" w:rsidRDefault="00836BBC" w:rsidP="00836BBC">
      <w:pPr>
        <w:numPr>
          <w:ilvl w:val="0"/>
          <w:numId w:val="9"/>
        </w:numPr>
        <w:spacing w:after="0"/>
      </w:pPr>
      <w:r w:rsidRPr="00836BBC">
        <w:t>De te gebruiken methoden zijn gestandaardiseerd.  </w:t>
      </w:r>
    </w:p>
    <w:p w14:paraId="74E98C8B" w14:textId="77777777" w:rsidR="00836BBC" w:rsidRPr="00836BBC" w:rsidRDefault="00836BBC" w:rsidP="00836BBC">
      <w:pPr>
        <w:numPr>
          <w:ilvl w:val="0"/>
          <w:numId w:val="10"/>
        </w:numPr>
        <w:spacing w:after="0"/>
      </w:pPr>
      <w:r w:rsidRPr="00836BBC">
        <w:t>De student reflecteert onder begeleiding van een werkbegeleider of docent op beschrijvend reflectief niveau, op het resultaat en de wijze waarop het resultaat is verkregen.  </w:t>
      </w:r>
    </w:p>
    <w:p w14:paraId="3EC19799" w14:textId="77777777" w:rsidR="00836BBC" w:rsidRPr="00836BBC" w:rsidRDefault="00836BBC" w:rsidP="00836BBC">
      <w:pPr>
        <w:numPr>
          <w:ilvl w:val="0"/>
          <w:numId w:val="11"/>
        </w:numPr>
        <w:spacing w:after="0"/>
      </w:pPr>
      <w:r w:rsidRPr="00836BBC">
        <w:t>De zorgvragers waaraan de student tijdens de BPV zorg verleent kenmerken zich door een stabiele gezondheidstoestand en verkeren in een beperkt wisselende zorgsituatie die voorspelbaar is. De mantelzorger en naasten behoeven geen aanvullende zorg of begeleiding. </w:t>
      </w:r>
    </w:p>
    <w:p w14:paraId="23E1A006" w14:textId="77777777" w:rsidR="00836BBC" w:rsidRDefault="00836BBC" w:rsidP="00836BBC">
      <w:pPr>
        <w:numPr>
          <w:ilvl w:val="0"/>
          <w:numId w:val="12"/>
        </w:numPr>
        <w:spacing w:after="0"/>
      </w:pPr>
      <w:r w:rsidRPr="00836BBC">
        <w:t>Tijdens de BPV kenmerken de leersituaties zich voor de student door een adequate bezetting, een voorspelbaar verlopen dienst, beschikbare begeleiding en beschikbaarheid van benodigde materialen.  </w:t>
      </w:r>
    </w:p>
    <w:p w14:paraId="2594172A" w14:textId="3D49771B" w:rsidR="00836BBC" w:rsidRDefault="00836BBC">
      <w:r>
        <w:br w:type="page"/>
      </w:r>
    </w:p>
    <w:p w14:paraId="21C4DF0C" w14:textId="77777777" w:rsidR="00836BBC" w:rsidRPr="00836BBC" w:rsidRDefault="00836BBC" w:rsidP="00836BBC">
      <w:pPr>
        <w:spacing w:after="0"/>
      </w:pPr>
      <w:r w:rsidRPr="00836BBC">
        <w:rPr>
          <w:b/>
          <w:bCs/>
        </w:rPr>
        <w:lastRenderedPageBreak/>
        <w:t>Niveau Midden</w:t>
      </w:r>
      <w:r w:rsidRPr="00836BBC">
        <w:t> </w:t>
      </w:r>
    </w:p>
    <w:p w14:paraId="18AD932C" w14:textId="77777777" w:rsidR="00836BBC" w:rsidRPr="00836BBC" w:rsidRDefault="00836BBC" w:rsidP="00836BBC">
      <w:pPr>
        <w:spacing w:after="0"/>
      </w:pPr>
      <w:r w:rsidRPr="00836BBC">
        <w:rPr>
          <w:i/>
          <w:iCs/>
        </w:rPr>
        <w:t>Zelfstandigheid</w:t>
      </w:r>
      <w:r w:rsidRPr="00836BBC">
        <w:t> </w:t>
      </w:r>
    </w:p>
    <w:p w14:paraId="55F3C138" w14:textId="77777777" w:rsidR="00836BBC" w:rsidRPr="00836BBC" w:rsidRDefault="00836BBC" w:rsidP="00836BBC">
      <w:pPr>
        <w:numPr>
          <w:ilvl w:val="0"/>
          <w:numId w:val="13"/>
        </w:numPr>
        <w:spacing w:after="0"/>
      </w:pPr>
      <w:r w:rsidRPr="00836BBC">
        <w:t>Er is sprake van een tussentijdse begeleiding en feedback van een werkbegeleider of docent. Instructie en/of aanwijzingen door een werkbegeleider of docent wordt gegeven op vraag van de student en in complexe situaties.  </w:t>
      </w:r>
    </w:p>
    <w:p w14:paraId="03487111" w14:textId="77777777" w:rsidR="00836BBC" w:rsidRPr="00836BBC" w:rsidRDefault="00836BBC" w:rsidP="00836BBC">
      <w:pPr>
        <w:numPr>
          <w:ilvl w:val="0"/>
          <w:numId w:val="14"/>
        </w:numPr>
        <w:spacing w:after="0"/>
      </w:pPr>
      <w:r w:rsidRPr="00836BBC">
        <w:t>De benodigde theorie (conceptuele modellen), methoden en procedures (strategische modellen) en literatuur wordt deels aangeboden door docent of werkbegeleider en deels door de student zelf gezocht en gevonden. </w:t>
      </w:r>
    </w:p>
    <w:p w14:paraId="0D2645FD" w14:textId="77777777" w:rsidR="00836BBC" w:rsidRPr="00836BBC" w:rsidRDefault="00836BBC" w:rsidP="00836BBC">
      <w:pPr>
        <w:numPr>
          <w:ilvl w:val="0"/>
          <w:numId w:val="15"/>
        </w:numPr>
        <w:spacing w:after="0"/>
      </w:pPr>
      <w:r w:rsidRPr="00836BBC">
        <w:t>Tijdens de BPV heeft de student vrijheid van handelen binnen vastgestelde kaders. </w:t>
      </w:r>
    </w:p>
    <w:p w14:paraId="10579FDB" w14:textId="77777777" w:rsidR="00836BBC" w:rsidRPr="00836BBC" w:rsidRDefault="00836BBC" w:rsidP="00836BBC">
      <w:pPr>
        <w:numPr>
          <w:ilvl w:val="0"/>
          <w:numId w:val="16"/>
        </w:numPr>
        <w:spacing w:after="0"/>
      </w:pPr>
      <w:r w:rsidRPr="00836BBC">
        <w:t>Tijdens de BPV wordt de zorg gedeeltelijk door anderen overgenomen als er sprake is van onverwachte omstandigheden of risicovolle situaties. </w:t>
      </w:r>
    </w:p>
    <w:p w14:paraId="0C9C4DB9" w14:textId="77777777" w:rsidR="00836BBC" w:rsidRPr="00836BBC" w:rsidRDefault="00836BBC" w:rsidP="00836BBC">
      <w:pPr>
        <w:numPr>
          <w:ilvl w:val="0"/>
          <w:numId w:val="17"/>
        </w:numPr>
        <w:spacing w:after="0"/>
      </w:pPr>
      <w:r w:rsidRPr="00836BBC">
        <w:t>Het proces van klinisch redeneren wordt door de student volledig doorlopen met behulp van anderen. </w:t>
      </w:r>
    </w:p>
    <w:p w14:paraId="635E6D23" w14:textId="77777777" w:rsidR="00836BBC" w:rsidRPr="00836BBC" w:rsidRDefault="00836BBC" w:rsidP="00836BBC">
      <w:pPr>
        <w:numPr>
          <w:ilvl w:val="0"/>
          <w:numId w:val="18"/>
        </w:numPr>
        <w:spacing w:after="0"/>
      </w:pPr>
      <w:r w:rsidRPr="00836BBC">
        <w:t>De student ontvangt coaching bij het ontwikkelen van metacognitieve vaardigheden.  </w:t>
      </w:r>
    </w:p>
    <w:p w14:paraId="388DBF61" w14:textId="77777777" w:rsidR="00836BBC" w:rsidRPr="00836BBC" w:rsidRDefault="00836BBC" w:rsidP="00836BBC">
      <w:pPr>
        <w:spacing w:after="0"/>
      </w:pPr>
      <w:r w:rsidRPr="00836BBC">
        <w:rPr>
          <w:i/>
          <w:iCs/>
        </w:rPr>
        <w:t>Complexiteit</w:t>
      </w:r>
      <w:r w:rsidRPr="00836BBC">
        <w:t> </w:t>
      </w:r>
    </w:p>
    <w:p w14:paraId="30F3BE5C" w14:textId="77777777" w:rsidR="00836BBC" w:rsidRPr="00836BBC" w:rsidRDefault="00836BBC" w:rsidP="00836BBC">
      <w:pPr>
        <w:numPr>
          <w:ilvl w:val="0"/>
          <w:numId w:val="19"/>
        </w:numPr>
        <w:spacing w:after="0"/>
      </w:pPr>
      <w:r w:rsidRPr="00836BBC">
        <w:t>De opdrachten/werkzaamheden/op te lossen vraagstukken kennen meerdere variabelen en betreffen een methodisch (klinisch) redeneerproces.  </w:t>
      </w:r>
    </w:p>
    <w:p w14:paraId="11DAAC43" w14:textId="77777777" w:rsidR="00836BBC" w:rsidRPr="00836BBC" w:rsidRDefault="00836BBC" w:rsidP="00836BBC">
      <w:pPr>
        <w:numPr>
          <w:ilvl w:val="0"/>
          <w:numId w:val="20"/>
        </w:numPr>
        <w:spacing w:after="0"/>
      </w:pPr>
      <w:r w:rsidRPr="00836BBC">
        <w:t>De opdrachten/werkzaamheden worden binnen het eigen beroepsdomein en in samenwerking met ten hoogste drie andere disciplines uitgevoerd. </w:t>
      </w:r>
    </w:p>
    <w:p w14:paraId="0D0F3BD8" w14:textId="77777777" w:rsidR="00836BBC" w:rsidRPr="00836BBC" w:rsidRDefault="00836BBC" w:rsidP="00836BBC">
      <w:pPr>
        <w:numPr>
          <w:ilvl w:val="0"/>
          <w:numId w:val="21"/>
        </w:numPr>
        <w:spacing w:after="0"/>
      </w:pPr>
      <w:r w:rsidRPr="00836BBC">
        <w:t>De te gebruiken methoden zijn meestal gestandaardiseerd.  </w:t>
      </w:r>
    </w:p>
    <w:p w14:paraId="1C77751C" w14:textId="77777777" w:rsidR="00836BBC" w:rsidRPr="00836BBC" w:rsidRDefault="00836BBC" w:rsidP="00836BBC">
      <w:pPr>
        <w:numPr>
          <w:ilvl w:val="0"/>
          <w:numId w:val="22"/>
        </w:numPr>
        <w:spacing w:after="0"/>
      </w:pPr>
      <w:r w:rsidRPr="00836BBC">
        <w:t>De student reflecteert met enige begeleiding van een werkbegeleider of docent op dialogisch reflectief niveau, op het resultaat en de wijze waarop het resultaat is verkregen.  </w:t>
      </w:r>
    </w:p>
    <w:p w14:paraId="2DD46A05" w14:textId="77777777" w:rsidR="00836BBC" w:rsidRPr="00836BBC" w:rsidRDefault="00836BBC" w:rsidP="00836BBC">
      <w:pPr>
        <w:numPr>
          <w:ilvl w:val="0"/>
          <w:numId w:val="23"/>
        </w:numPr>
        <w:spacing w:after="0"/>
      </w:pPr>
      <w:r w:rsidRPr="00836BBC">
        <w:t>De zorgvragers waaraan de student tijdens de BPV zorg verleent kenmerken zich door een matig stabiele gezondheidstoestand en verkeren in een wisselende zorgsituatie die matig voorspelbaar is en waarbij zich voor de student onverwachte situaties kunnen voordoen. De mantelzorger en naasten behoeven enige aanvullende zorg of begeleiding waarbij er sprake is van weinig variabelen en eenduidige verbanden. </w:t>
      </w:r>
    </w:p>
    <w:p w14:paraId="48F41A28" w14:textId="77777777" w:rsidR="00836BBC" w:rsidRPr="00836BBC" w:rsidRDefault="00836BBC" w:rsidP="00836BBC">
      <w:pPr>
        <w:numPr>
          <w:ilvl w:val="0"/>
          <w:numId w:val="24"/>
        </w:numPr>
        <w:spacing w:after="0"/>
      </w:pPr>
      <w:r w:rsidRPr="00836BBC">
        <w:t>Tijdens de BPV kenmerkt de stageplaats zich voor de student door een adequate bezetting, een voorspelbaar verlopen dienst, beschikbare begeleiding en beschikbaarheid van benodigde materialen.  </w:t>
      </w:r>
    </w:p>
    <w:p w14:paraId="579C504A" w14:textId="77777777" w:rsidR="00836BBC" w:rsidRPr="00836BBC" w:rsidRDefault="00836BBC" w:rsidP="00836BBC">
      <w:pPr>
        <w:spacing w:after="0"/>
      </w:pPr>
      <w:r w:rsidRPr="00836BBC">
        <w:t>  </w:t>
      </w:r>
    </w:p>
    <w:p w14:paraId="2985ABC2" w14:textId="77777777" w:rsidR="00836BBC" w:rsidRDefault="00836BBC">
      <w:pPr>
        <w:rPr>
          <w:b/>
          <w:bCs/>
        </w:rPr>
      </w:pPr>
      <w:r>
        <w:rPr>
          <w:b/>
          <w:bCs/>
        </w:rPr>
        <w:br w:type="page"/>
      </w:r>
    </w:p>
    <w:p w14:paraId="22C105F8" w14:textId="16C1F2A0" w:rsidR="00836BBC" w:rsidRPr="00836BBC" w:rsidRDefault="00836BBC" w:rsidP="00836BBC">
      <w:pPr>
        <w:spacing w:after="0"/>
      </w:pPr>
      <w:r w:rsidRPr="00836BBC">
        <w:rPr>
          <w:b/>
          <w:bCs/>
        </w:rPr>
        <w:lastRenderedPageBreak/>
        <w:t>Niveau Hoog</w:t>
      </w:r>
      <w:r w:rsidRPr="00836BBC">
        <w:t> </w:t>
      </w:r>
    </w:p>
    <w:p w14:paraId="620EC1D3" w14:textId="77777777" w:rsidR="00836BBC" w:rsidRPr="00836BBC" w:rsidRDefault="00836BBC" w:rsidP="00836BBC">
      <w:pPr>
        <w:spacing w:after="0"/>
      </w:pPr>
      <w:r w:rsidRPr="00836BBC">
        <w:rPr>
          <w:i/>
          <w:iCs/>
        </w:rPr>
        <w:t>Zelfstandigheid</w:t>
      </w:r>
      <w:r w:rsidRPr="00836BBC">
        <w:t> </w:t>
      </w:r>
    </w:p>
    <w:p w14:paraId="6B2EA779" w14:textId="77777777" w:rsidR="00836BBC" w:rsidRPr="00836BBC" w:rsidRDefault="00836BBC" w:rsidP="00836BBC">
      <w:pPr>
        <w:numPr>
          <w:ilvl w:val="0"/>
          <w:numId w:val="25"/>
        </w:numPr>
        <w:spacing w:after="0"/>
      </w:pPr>
      <w:r w:rsidRPr="00836BBC">
        <w:t>Er is sprake van begeleiding en coaching op afstand door een werkbegeleider of docent. Instructies en/of aanwijzingen door een werkbegeleider of docent worden gegeven op vraag van de student en in complexe situaties.  </w:t>
      </w:r>
    </w:p>
    <w:p w14:paraId="77DBB567" w14:textId="77777777" w:rsidR="00836BBC" w:rsidRPr="00836BBC" w:rsidRDefault="00836BBC" w:rsidP="00836BBC">
      <w:pPr>
        <w:numPr>
          <w:ilvl w:val="0"/>
          <w:numId w:val="26"/>
        </w:numPr>
        <w:spacing w:after="0"/>
      </w:pPr>
      <w:r w:rsidRPr="00836BBC">
        <w:t>De benodigde theorie (conceptuele modellen), methoden en procedures (strategische modellen) en literatuur wordt door de student zelf gezocht en gevonden. </w:t>
      </w:r>
    </w:p>
    <w:p w14:paraId="42CB38B6" w14:textId="77777777" w:rsidR="00836BBC" w:rsidRPr="00836BBC" w:rsidRDefault="00836BBC" w:rsidP="00836BBC">
      <w:pPr>
        <w:numPr>
          <w:ilvl w:val="0"/>
          <w:numId w:val="27"/>
        </w:numPr>
        <w:spacing w:after="0"/>
      </w:pPr>
      <w:r w:rsidRPr="00836BBC">
        <w:t>Tijdens de BPV heeft de student vrijheid van handelen binnen de beroepscode verpleegkundigen en verzorgenden (V&amp;VN) en de voor medewerkers geldende richtlijnen en afspraken van de stageplaats. </w:t>
      </w:r>
    </w:p>
    <w:p w14:paraId="094B878C" w14:textId="77777777" w:rsidR="00836BBC" w:rsidRPr="00836BBC" w:rsidRDefault="00836BBC" w:rsidP="00836BBC">
      <w:pPr>
        <w:numPr>
          <w:ilvl w:val="0"/>
          <w:numId w:val="28"/>
        </w:numPr>
        <w:spacing w:after="0"/>
      </w:pPr>
      <w:r w:rsidRPr="00836BBC">
        <w:t>Tijdens de BPV wordt de zorg zelfstandig of onder begeleiding uitgevoerd als er sprake is van onverwachte omstandigheden of risicovolle situaties. </w:t>
      </w:r>
    </w:p>
    <w:p w14:paraId="319BA8C7" w14:textId="77777777" w:rsidR="00836BBC" w:rsidRPr="00836BBC" w:rsidRDefault="00836BBC" w:rsidP="00836BBC">
      <w:pPr>
        <w:numPr>
          <w:ilvl w:val="0"/>
          <w:numId w:val="29"/>
        </w:numPr>
        <w:spacing w:after="0"/>
      </w:pPr>
      <w:r w:rsidRPr="00836BBC">
        <w:t>Het proces van klinisch redeneren wordt door de student volledig zelfstandig doorlopen. </w:t>
      </w:r>
    </w:p>
    <w:p w14:paraId="3BA6A67F" w14:textId="77777777" w:rsidR="00836BBC" w:rsidRPr="00836BBC" w:rsidRDefault="00836BBC" w:rsidP="00836BBC">
      <w:pPr>
        <w:numPr>
          <w:ilvl w:val="0"/>
          <w:numId w:val="30"/>
        </w:numPr>
        <w:spacing w:after="0"/>
      </w:pPr>
      <w:r w:rsidRPr="00836BBC">
        <w:t>De student ontwikkelt zelfstandig metacognitieve vaardigheden.  </w:t>
      </w:r>
    </w:p>
    <w:p w14:paraId="034E2591" w14:textId="77777777" w:rsidR="00836BBC" w:rsidRPr="00836BBC" w:rsidRDefault="00836BBC" w:rsidP="00836BBC">
      <w:pPr>
        <w:numPr>
          <w:ilvl w:val="0"/>
          <w:numId w:val="31"/>
        </w:numPr>
        <w:spacing w:after="0"/>
      </w:pPr>
      <w:r w:rsidRPr="00836BBC">
        <w:t>De student geeft instructie en/of begeleiding aan anderen binnen het beroepsdomein.  </w:t>
      </w:r>
    </w:p>
    <w:p w14:paraId="6803CD77" w14:textId="77777777" w:rsidR="00836BBC" w:rsidRPr="00836BBC" w:rsidRDefault="00836BBC" w:rsidP="00836BBC">
      <w:pPr>
        <w:spacing w:after="0"/>
      </w:pPr>
      <w:r w:rsidRPr="00836BBC">
        <w:rPr>
          <w:i/>
          <w:iCs/>
        </w:rPr>
        <w:t>Complexiteit</w:t>
      </w:r>
      <w:r w:rsidRPr="00836BBC">
        <w:t> </w:t>
      </w:r>
    </w:p>
    <w:p w14:paraId="74EE4B5C" w14:textId="77777777" w:rsidR="00836BBC" w:rsidRPr="00836BBC" w:rsidRDefault="00836BBC" w:rsidP="00836BBC">
      <w:pPr>
        <w:numPr>
          <w:ilvl w:val="0"/>
          <w:numId w:val="32"/>
        </w:numPr>
        <w:spacing w:after="0"/>
      </w:pPr>
      <w:r w:rsidRPr="00836BBC">
        <w:t>De opdrachten/werkzaamheden/op te lossen vraagstukken kennen een veelheid aan variabelen en betreffen een methodisch (klinisch) redeneerproces.  </w:t>
      </w:r>
    </w:p>
    <w:p w14:paraId="74CE064C" w14:textId="77777777" w:rsidR="00836BBC" w:rsidRPr="00836BBC" w:rsidRDefault="00836BBC" w:rsidP="00836BBC">
      <w:pPr>
        <w:numPr>
          <w:ilvl w:val="0"/>
          <w:numId w:val="33"/>
        </w:numPr>
        <w:spacing w:after="0"/>
      </w:pPr>
      <w:r w:rsidRPr="00836BBC">
        <w:t>De opdrachten/werkzaamheden worden binnen het eigen beroepsdomein, op het grensvlak met andere domeinen en in samenwerking met voor de zorgvrager(s) relevante andere disciplines uitgevoerd. </w:t>
      </w:r>
    </w:p>
    <w:p w14:paraId="1ED497CF" w14:textId="77777777" w:rsidR="00836BBC" w:rsidRPr="00836BBC" w:rsidRDefault="00836BBC" w:rsidP="00836BBC">
      <w:pPr>
        <w:numPr>
          <w:ilvl w:val="0"/>
          <w:numId w:val="34"/>
        </w:numPr>
        <w:spacing w:after="0"/>
      </w:pPr>
      <w:r w:rsidRPr="00836BBC">
        <w:t>De te gebruiken methoden kenmerken zich door een mix van routinematig en niet-gestandaardiseerd.  </w:t>
      </w:r>
    </w:p>
    <w:p w14:paraId="5CD09FF6" w14:textId="77777777" w:rsidR="00836BBC" w:rsidRPr="00836BBC" w:rsidRDefault="00836BBC" w:rsidP="00836BBC">
      <w:pPr>
        <w:numPr>
          <w:ilvl w:val="0"/>
          <w:numId w:val="35"/>
        </w:numPr>
        <w:spacing w:after="0"/>
      </w:pPr>
      <w:r w:rsidRPr="00836BBC">
        <w:t>De student reflecteert zelfstandig, op kritisch reflectief niveau, op het resultaat en de wijze waarop het resultaat is verkregen.  </w:t>
      </w:r>
    </w:p>
    <w:p w14:paraId="4A95904F" w14:textId="77777777" w:rsidR="00836BBC" w:rsidRPr="00836BBC" w:rsidRDefault="00836BBC" w:rsidP="00836BBC">
      <w:pPr>
        <w:numPr>
          <w:ilvl w:val="0"/>
          <w:numId w:val="36"/>
        </w:numPr>
        <w:spacing w:after="0"/>
      </w:pPr>
      <w:r w:rsidRPr="00836BBC">
        <w:t>De zorgvragers waaraan de student tijdens de BPV zorg verleent kenmerken zich door een weinig stabiele gezondheidstoestand en verkeren in een wisselende zorgsituatie die niet voorspelbaar is en waarbij zich voor de student onverwachte situaties kunnen voordoen. De mantelzorger en naasten behoeven voortdurend aanvullende zorg of begeleiding waarbij er sprake is van meerdere variabelen. </w:t>
      </w:r>
    </w:p>
    <w:p w14:paraId="66CE0EC6" w14:textId="77777777" w:rsidR="00836BBC" w:rsidRPr="00836BBC" w:rsidRDefault="00836BBC" w:rsidP="00836BBC">
      <w:pPr>
        <w:numPr>
          <w:ilvl w:val="0"/>
          <w:numId w:val="37"/>
        </w:numPr>
        <w:spacing w:after="0"/>
      </w:pPr>
      <w:r w:rsidRPr="00836BBC">
        <w:t>Tijdens de BPV kenmerkt de stageplaats zich voor de student door een adequate bezetting en beschikbare begeleiding. </w:t>
      </w:r>
    </w:p>
    <w:p w14:paraId="1BA1B2F9" w14:textId="77777777" w:rsidR="00293216" w:rsidRDefault="00293216" w:rsidP="00836BBC">
      <w:pPr>
        <w:spacing w:after="0"/>
      </w:pPr>
    </w:p>
    <w:sectPr w:rsidR="002932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C9D"/>
    <w:multiLevelType w:val="multilevel"/>
    <w:tmpl w:val="285A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727E0"/>
    <w:multiLevelType w:val="multilevel"/>
    <w:tmpl w:val="F050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B11CB"/>
    <w:multiLevelType w:val="multilevel"/>
    <w:tmpl w:val="9668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E4E61"/>
    <w:multiLevelType w:val="multilevel"/>
    <w:tmpl w:val="438C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61150"/>
    <w:multiLevelType w:val="multilevel"/>
    <w:tmpl w:val="B40E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924038"/>
    <w:multiLevelType w:val="multilevel"/>
    <w:tmpl w:val="E0D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1102A"/>
    <w:multiLevelType w:val="multilevel"/>
    <w:tmpl w:val="9BD0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F062C"/>
    <w:multiLevelType w:val="multilevel"/>
    <w:tmpl w:val="F016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747F4"/>
    <w:multiLevelType w:val="multilevel"/>
    <w:tmpl w:val="2E9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6F13EC"/>
    <w:multiLevelType w:val="multilevel"/>
    <w:tmpl w:val="DBF6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F970A5"/>
    <w:multiLevelType w:val="multilevel"/>
    <w:tmpl w:val="65CA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56470"/>
    <w:multiLevelType w:val="multilevel"/>
    <w:tmpl w:val="DF4C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25A95"/>
    <w:multiLevelType w:val="multilevel"/>
    <w:tmpl w:val="9E4E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B3856"/>
    <w:multiLevelType w:val="multilevel"/>
    <w:tmpl w:val="EE50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9460C"/>
    <w:multiLevelType w:val="multilevel"/>
    <w:tmpl w:val="FB36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83652"/>
    <w:multiLevelType w:val="multilevel"/>
    <w:tmpl w:val="428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84654"/>
    <w:multiLevelType w:val="multilevel"/>
    <w:tmpl w:val="96F8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1701D0"/>
    <w:multiLevelType w:val="multilevel"/>
    <w:tmpl w:val="8C22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884BFB"/>
    <w:multiLevelType w:val="multilevel"/>
    <w:tmpl w:val="1EA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D54D2B"/>
    <w:multiLevelType w:val="multilevel"/>
    <w:tmpl w:val="3FFA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03058F"/>
    <w:multiLevelType w:val="multilevel"/>
    <w:tmpl w:val="E33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70F8A"/>
    <w:multiLevelType w:val="multilevel"/>
    <w:tmpl w:val="A062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7409A7"/>
    <w:multiLevelType w:val="multilevel"/>
    <w:tmpl w:val="EF84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60695A"/>
    <w:multiLevelType w:val="multilevel"/>
    <w:tmpl w:val="00CA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9C3074"/>
    <w:multiLevelType w:val="multilevel"/>
    <w:tmpl w:val="3BD4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3C71D8"/>
    <w:multiLevelType w:val="multilevel"/>
    <w:tmpl w:val="9C02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9413D9"/>
    <w:multiLevelType w:val="multilevel"/>
    <w:tmpl w:val="5A84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3F76BE"/>
    <w:multiLevelType w:val="multilevel"/>
    <w:tmpl w:val="76FA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B3B47"/>
    <w:multiLevelType w:val="multilevel"/>
    <w:tmpl w:val="C504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531D1C"/>
    <w:multiLevelType w:val="multilevel"/>
    <w:tmpl w:val="D19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05548"/>
    <w:multiLevelType w:val="multilevel"/>
    <w:tmpl w:val="EE9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104EC0"/>
    <w:multiLevelType w:val="multilevel"/>
    <w:tmpl w:val="A7E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545BAF"/>
    <w:multiLevelType w:val="multilevel"/>
    <w:tmpl w:val="0E14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93696"/>
    <w:multiLevelType w:val="multilevel"/>
    <w:tmpl w:val="8C7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C31923"/>
    <w:multiLevelType w:val="multilevel"/>
    <w:tmpl w:val="3478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4B3E7C"/>
    <w:multiLevelType w:val="multilevel"/>
    <w:tmpl w:val="A024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CD53E0"/>
    <w:multiLevelType w:val="multilevel"/>
    <w:tmpl w:val="FD0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8739088">
    <w:abstractNumId w:val="8"/>
  </w:num>
  <w:num w:numId="2" w16cid:durableId="1969318926">
    <w:abstractNumId w:val="7"/>
  </w:num>
  <w:num w:numId="3" w16cid:durableId="308635973">
    <w:abstractNumId w:val="5"/>
  </w:num>
  <w:num w:numId="4" w16cid:durableId="882249200">
    <w:abstractNumId w:val="15"/>
  </w:num>
  <w:num w:numId="5" w16cid:durableId="615671844">
    <w:abstractNumId w:val="33"/>
  </w:num>
  <w:num w:numId="6" w16cid:durableId="660278525">
    <w:abstractNumId w:val="34"/>
  </w:num>
  <w:num w:numId="7" w16cid:durableId="2102749722">
    <w:abstractNumId w:val="1"/>
  </w:num>
  <w:num w:numId="8" w16cid:durableId="144247855">
    <w:abstractNumId w:val="20"/>
  </w:num>
  <w:num w:numId="9" w16cid:durableId="401684494">
    <w:abstractNumId w:val="9"/>
  </w:num>
  <w:num w:numId="10" w16cid:durableId="1368219690">
    <w:abstractNumId w:val="12"/>
  </w:num>
  <w:num w:numId="11" w16cid:durableId="1433933198">
    <w:abstractNumId w:val="35"/>
  </w:num>
  <w:num w:numId="12" w16cid:durableId="725497467">
    <w:abstractNumId w:val="10"/>
  </w:num>
  <w:num w:numId="13" w16cid:durableId="2079664031">
    <w:abstractNumId w:val="24"/>
  </w:num>
  <w:num w:numId="14" w16cid:durableId="1281718622">
    <w:abstractNumId w:val="18"/>
  </w:num>
  <w:num w:numId="15" w16cid:durableId="2015297552">
    <w:abstractNumId w:val="25"/>
  </w:num>
  <w:num w:numId="16" w16cid:durableId="1187207482">
    <w:abstractNumId w:val="4"/>
  </w:num>
  <w:num w:numId="17" w16cid:durableId="425924337">
    <w:abstractNumId w:val="17"/>
  </w:num>
  <w:num w:numId="18" w16cid:durableId="299459712">
    <w:abstractNumId w:val="22"/>
  </w:num>
  <w:num w:numId="19" w16cid:durableId="1375732806">
    <w:abstractNumId w:val="26"/>
  </w:num>
  <w:num w:numId="20" w16cid:durableId="1725638625">
    <w:abstractNumId w:val="11"/>
  </w:num>
  <w:num w:numId="21" w16cid:durableId="792867918">
    <w:abstractNumId w:val="13"/>
  </w:num>
  <w:num w:numId="22" w16cid:durableId="79182668">
    <w:abstractNumId w:val="30"/>
  </w:num>
  <w:num w:numId="23" w16cid:durableId="1200901647">
    <w:abstractNumId w:val="0"/>
  </w:num>
  <w:num w:numId="24" w16cid:durableId="1087191298">
    <w:abstractNumId w:val="32"/>
  </w:num>
  <w:num w:numId="25" w16cid:durableId="1991012120">
    <w:abstractNumId w:val="21"/>
  </w:num>
  <w:num w:numId="26" w16cid:durableId="447356087">
    <w:abstractNumId w:val="19"/>
  </w:num>
  <w:num w:numId="27" w16cid:durableId="1119683077">
    <w:abstractNumId w:val="23"/>
  </w:num>
  <w:num w:numId="28" w16cid:durableId="1681200315">
    <w:abstractNumId w:val="16"/>
  </w:num>
  <w:num w:numId="29" w16cid:durableId="81224879">
    <w:abstractNumId w:val="36"/>
  </w:num>
  <w:num w:numId="30" w16cid:durableId="551574734">
    <w:abstractNumId w:val="29"/>
  </w:num>
  <w:num w:numId="31" w16cid:durableId="1906867590">
    <w:abstractNumId w:val="6"/>
  </w:num>
  <w:num w:numId="32" w16cid:durableId="1243223624">
    <w:abstractNumId w:val="27"/>
  </w:num>
  <w:num w:numId="33" w16cid:durableId="705910930">
    <w:abstractNumId w:val="2"/>
  </w:num>
  <w:num w:numId="34" w16cid:durableId="510535681">
    <w:abstractNumId w:val="14"/>
  </w:num>
  <w:num w:numId="35" w16cid:durableId="1770850600">
    <w:abstractNumId w:val="28"/>
  </w:num>
  <w:num w:numId="36" w16cid:durableId="729377417">
    <w:abstractNumId w:val="3"/>
  </w:num>
  <w:num w:numId="37" w16cid:durableId="20569225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BC"/>
    <w:rsid w:val="00293216"/>
    <w:rsid w:val="00514199"/>
    <w:rsid w:val="00836BBC"/>
    <w:rsid w:val="009E1B3C"/>
    <w:rsid w:val="00EA0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C916"/>
  <w15:chartTrackingRefBased/>
  <w15:docId w15:val="{D945C822-3C1C-41DF-988F-70B14ADB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6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6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6B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6B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6B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6B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6B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6B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6B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B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6B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6B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6B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6B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6B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6B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6B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6BBC"/>
    <w:rPr>
      <w:rFonts w:eastAsiaTheme="majorEastAsia" w:cstheme="majorBidi"/>
      <w:color w:val="272727" w:themeColor="text1" w:themeTint="D8"/>
    </w:rPr>
  </w:style>
  <w:style w:type="paragraph" w:styleId="Titel">
    <w:name w:val="Title"/>
    <w:basedOn w:val="Standaard"/>
    <w:next w:val="Standaard"/>
    <w:link w:val="TitelChar"/>
    <w:uiPriority w:val="10"/>
    <w:qFormat/>
    <w:rsid w:val="00836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6B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6B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6B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6B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6BBC"/>
    <w:rPr>
      <w:i/>
      <w:iCs/>
      <w:color w:val="404040" w:themeColor="text1" w:themeTint="BF"/>
    </w:rPr>
  </w:style>
  <w:style w:type="paragraph" w:styleId="Lijstalinea">
    <w:name w:val="List Paragraph"/>
    <w:basedOn w:val="Standaard"/>
    <w:uiPriority w:val="34"/>
    <w:qFormat/>
    <w:rsid w:val="00836BBC"/>
    <w:pPr>
      <w:ind w:left="720"/>
      <w:contextualSpacing/>
    </w:pPr>
  </w:style>
  <w:style w:type="character" w:styleId="Intensievebenadrukking">
    <w:name w:val="Intense Emphasis"/>
    <w:basedOn w:val="Standaardalinea-lettertype"/>
    <w:uiPriority w:val="21"/>
    <w:qFormat/>
    <w:rsid w:val="00836BBC"/>
    <w:rPr>
      <w:i/>
      <w:iCs/>
      <w:color w:val="0F4761" w:themeColor="accent1" w:themeShade="BF"/>
    </w:rPr>
  </w:style>
  <w:style w:type="paragraph" w:styleId="Duidelijkcitaat">
    <w:name w:val="Intense Quote"/>
    <w:basedOn w:val="Standaard"/>
    <w:next w:val="Standaard"/>
    <w:link w:val="DuidelijkcitaatChar"/>
    <w:uiPriority w:val="30"/>
    <w:qFormat/>
    <w:rsid w:val="00836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6BBC"/>
    <w:rPr>
      <w:i/>
      <w:iCs/>
      <w:color w:val="0F4761" w:themeColor="accent1" w:themeShade="BF"/>
    </w:rPr>
  </w:style>
  <w:style w:type="character" w:styleId="Intensieveverwijzing">
    <w:name w:val="Intense Reference"/>
    <w:basedOn w:val="Standaardalinea-lettertype"/>
    <w:uiPriority w:val="32"/>
    <w:qFormat/>
    <w:rsid w:val="00836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6331</Characters>
  <Application>Microsoft Office Word</Application>
  <DocSecurity>0</DocSecurity>
  <Lines>52</Lines>
  <Paragraphs>14</Paragraphs>
  <ScaleCrop>false</ScaleCrop>
  <Company>Avans Hogeschool</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Baike Pouwels</dc:creator>
  <cp:keywords/>
  <dc:description/>
  <cp:lastModifiedBy>Baike Pouwels</cp:lastModifiedBy>
  <cp:revision>1</cp:revision>
  <dcterms:created xsi:type="dcterms:W3CDTF">2025-11-18T12:22:00Z</dcterms:created>
  <dcterms:modified xsi:type="dcterms:W3CDTF">2025-11-18T12:23:00Z</dcterms:modified>
</cp:coreProperties>
</file>